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57C80" w14:textId="77777777" w:rsidR="003B4B52" w:rsidRDefault="00625BC0">
      <w:pPr>
        <w:spacing w:line="360" w:lineRule="auto"/>
        <w:ind w:firstLineChars="100" w:firstLine="562"/>
        <w:jc w:val="center"/>
        <w:rPr>
          <w:rFonts w:ascii="宋体" w:hAnsi="宋体"/>
          <w:b/>
          <w:sz w:val="56"/>
          <w:szCs w:val="52"/>
        </w:rPr>
      </w:pPr>
      <w:bookmarkStart w:id="0" w:name="_Toc19788"/>
      <w:r>
        <w:rPr>
          <w:rFonts w:ascii="宋体" w:hAnsi="宋体"/>
          <w:b/>
          <w:noProof/>
          <w:sz w:val="56"/>
          <w:szCs w:val="52"/>
        </w:rPr>
        <w:drawing>
          <wp:inline distT="0" distB="0" distL="114300" distR="114300" wp14:anchorId="4216EF50" wp14:editId="04E7BA51">
            <wp:extent cx="3181350" cy="1009650"/>
            <wp:effectExtent l="0" t="0" r="6350" b="6350"/>
            <wp:docPr id="1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60CDA" w14:textId="77777777" w:rsidR="003B4B52" w:rsidRDefault="00625BC0">
      <w:pPr>
        <w:spacing w:line="360" w:lineRule="auto"/>
        <w:ind w:firstLineChars="100" w:firstLine="562"/>
        <w:rPr>
          <w:rFonts w:ascii="宋体" w:hAnsi="宋体"/>
          <w:b/>
          <w:sz w:val="56"/>
          <w:szCs w:val="52"/>
        </w:rPr>
      </w:pPr>
      <w:r>
        <w:rPr>
          <w:rFonts w:ascii="宋体" w:hAnsi="宋体" w:hint="eastAsia"/>
          <w:b/>
          <w:sz w:val="56"/>
          <w:szCs w:val="52"/>
        </w:rPr>
        <w:t>维普毕业设计（论文）管理系统</w:t>
      </w:r>
    </w:p>
    <w:p w14:paraId="24E7AC36" w14:textId="77777777" w:rsidR="003B4B52" w:rsidRDefault="003B4B52">
      <w:pPr>
        <w:spacing w:line="360" w:lineRule="auto"/>
        <w:rPr>
          <w:rFonts w:ascii="宋体" w:hAnsi="宋体"/>
        </w:rPr>
      </w:pPr>
    </w:p>
    <w:p w14:paraId="66C6631D" w14:textId="77777777" w:rsidR="003B4B52" w:rsidRDefault="00625BC0">
      <w:pPr>
        <w:spacing w:line="360" w:lineRule="auto"/>
        <w:jc w:val="center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浙江师范大学</w:t>
      </w:r>
    </w:p>
    <w:p w14:paraId="63D54505" w14:textId="77777777" w:rsidR="003B4B52" w:rsidRDefault="003B4B52">
      <w:pPr>
        <w:spacing w:line="360" w:lineRule="auto"/>
        <w:rPr>
          <w:rFonts w:ascii="宋体" w:hAnsi="宋体"/>
        </w:rPr>
      </w:pPr>
    </w:p>
    <w:p w14:paraId="07C5C9D4" w14:textId="60D047AD" w:rsidR="003B4B52" w:rsidRDefault="00CA5594">
      <w:pPr>
        <w:spacing w:line="360" w:lineRule="auto"/>
        <w:rPr>
          <w:rFonts w:ascii="宋体" w:hAnsi="宋体"/>
        </w:rPr>
      </w:pPr>
      <w:bookmarkStart w:id="1" w:name="_GoBack"/>
      <w:r>
        <w:rPr>
          <w:noProof/>
        </w:rPr>
        <w:drawing>
          <wp:inline distT="0" distB="0" distL="0" distR="0" wp14:anchorId="315A912A" wp14:editId="3B82EB8B">
            <wp:extent cx="5274310" cy="176276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bookmarkEnd w:id="0"/>
    <w:p w14:paraId="06E50EAD" w14:textId="77777777" w:rsidR="003B4B52" w:rsidRPr="001A3EF3" w:rsidRDefault="003B4B52">
      <w:pPr>
        <w:spacing w:line="360" w:lineRule="auto"/>
        <w:ind w:firstLine="480"/>
        <w:rPr>
          <w:rFonts w:ascii="微软雅黑" w:eastAsia="微软雅黑" w:hAnsi="微软雅黑"/>
          <w:color w:val="FF0000"/>
        </w:rPr>
      </w:pPr>
    </w:p>
    <w:p w14:paraId="522DA0E5" w14:textId="77777777" w:rsidR="003B4B52" w:rsidRDefault="00625BC0">
      <w:pPr>
        <w:pStyle w:val="2"/>
      </w:pPr>
      <w:bookmarkStart w:id="2" w:name="_Toc95916932"/>
      <w:r>
        <w:t>1</w:t>
      </w:r>
      <w:r>
        <w:rPr>
          <w:rFonts w:hint="eastAsia"/>
        </w:rPr>
        <w:t>9</w:t>
      </w:r>
      <w:r>
        <w:rPr>
          <w:rFonts w:hint="eastAsia"/>
        </w:rPr>
        <w:t>、</w:t>
      </w:r>
      <w:r>
        <w:rPr>
          <w:rFonts w:hint="eastAsia"/>
          <w:color w:val="FF0000"/>
        </w:rPr>
        <w:t>指导教师</w:t>
      </w:r>
      <w:r>
        <w:rPr>
          <w:rFonts w:hint="eastAsia"/>
          <w:color w:val="000000"/>
        </w:rPr>
        <w:t>答辩稿</w:t>
      </w:r>
      <w:r>
        <w:rPr>
          <w:rFonts w:hint="eastAsia"/>
        </w:rPr>
        <w:t>评分</w:t>
      </w:r>
      <w:bookmarkEnd w:id="2"/>
    </w:p>
    <w:p w14:paraId="3B8245A3" w14:textId="77777777" w:rsidR="003B4B52" w:rsidRDefault="00625BC0">
      <w:pPr>
        <w:spacing w:line="360" w:lineRule="auto"/>
        <w:ind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点击左侧菜单栏“评分管理”—“答辩稿指导教师评分”页面。</w:t>
      </w:r>
    </w:p>
    <w:p w14:paraId="0FB64CE5" w14:textId="77777777" w:rsidR="003B4B52" w:rsidRDefault="00625BC0">
      <w:pPr>
        <w:spacing w:line="360" w:lineRule="auto"/>
        <w:ind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点击“评分”按钮，在弹出页面中对学生的定稿进行评分及评分意见的填写，选择是否同意答辩。最后点击“提交”或“暂存”即可，“提交”将提交到系统中去进行总评的换算，“暂存”后还可以进行修改，不会提交到系统中。</w:t>
      </w:r>
    </w:p>
    <w:p w14:paraId="5FB09607" w14:textId="77777777" w:rsidR="003B4B52" w:rsidRDefault="003B4B52">
      <w:pPr>
        <w:spacing w:line="360" w:lineRule="auto"/>
        <w:ind w:firstLine="480"/>
        <w:rPr>
          <w:rFonts w:ascii="微软雅黑" w:eastAsia="微软雅黑" w:hAnsi="微软雅黑"/>
        </w:rPr>
      </w:pPr>
    </w:p>
    <w:p w14:paraId="14786429" w14:textId="77777777" w:rsidR="003B4B52" w:rsidRDefault="003B4B52">
      <w:pPr>
        <w:spacing w:line="360" w:lineRule="auto"/>
        <w:ind w:firstLine="480"/>
        <w:rPr>
          <w:rFonts w:ascii="微软雅黑" w:eastAsia="微软雅黑" w:hAnsi="微软雅黑"/>
        </w:rPr>
      </w:pPr>
    </w:p>
    <w:p w14:paraId="69A735A9" w14:textId="77777777" w:rsidR="003B4B52" w:rsidRDefault="00625BC0">
      <w:pPr>
        <w:spacing w:line="360" w:lineRule="auto"/>
        <w:rPr>
          <w:rFonts w:ascii="微软雅黑" w:eastAsia="微软雅黑" w:hAnsi="微软雅黑"/>
        </w:rPr>
      </w:pPr>
      <w:r>
        <w:rPr>
          <w:noProof/>
        </w:rPr>
        <w:lastRenderedPageBreak/>
        <w:drawing>
          <wp:inline distT="0" distB="0" distL="114300" distR="114300" wp14:anchorId="7E1895CF" wp14:editId="103819E4">
            <wp:extent cx="5267325" cy="2368550"/>
            <wp:effectExtent l="0" t="0" r="3175" b="6350"/>
            <wp:docPr id="43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07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27A26" w14:textId="77777777" w:rsidR="003B4B52" w:rsidRDefault="00625BC0">
      <w:pPr>
        <w:spacing w:line="360" w:lineRule="auto"/>
      </w:pPr>
      <w:r>
        <w:rPr>
          <w:noProof/>
        </w:rPr>
        <w:drawing>
          <wp:inline distT="0" distB="0" distL="114300" distR="114300" wp14:anchorId="534604B0" wp14:editId="402EAB01">
            <wp:extent cx="5266690" cy="2955925"/>
            <wp:effectExtent l="0" t="0" r="6350" b="635"/>
            <wp:docPr id="44" name="图片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0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4D0E9" w14:textId="77777777" w:rsidR="003B4B52" w:rsidRDefault="00625BC0">
      <w:pPr>
        <w:spacing w:line="360" w:lineRule="auto"/>
        <w:ind w:firstLine="480"/>
      </w:pPr>
      <w:r>
        <w:rPr>
          <w:rFonts w:ascii="微软雅黑" w:eastAsia="微软雅黑" w:hAnsi="微软雅黑" w:hint="eastAsia"/>
        </w:rPr>
        <w:t>点击左侧菜单栏“评分管理”—“</w:t>
      </w:r>
      <w:r>
        <w:rPr>
          <w:rFonts w:ascii="微软雅黑" w:hAnsi="微软雅黑" w:hint="eastAsia"/>
        </w:rPr>
        <w:t>答辩稿指导教师评分</w:t>
      </w:r>
      <w:r>
        <w:rPr>
          <w:rFonts w:ascii="微软雅黑" w:eastAsia="微软雅黑" w:hAnsi="微软雅黑" w:hint="eastAsia"/>
        </w:rPr>
        <w:t>”页面。</w:t>
      </w:r>
    </w:p>
    <w:p w14:paraId="205F2A9A" w14:textId="77777777" w:rsidR="003B4B52" w:rsidRDefault="00625BC0">
      <w:pPr>
        <w:spacing w:line="360" w:lineRule="auto"/>
        <w:ind w:firstLine="480"/>
      </w:pPr>
      <w:r>
        <w:rPr>
          <w:rFonts w:ascii="微软雅黑" w:eastAsia="微软雅黑" w:hAnsi="微软雅黑" w:hint="eastAsia"/>
        </w:rPr>
        <w:t>点击“评分”按钮，在弹出页面中对学生的定稿进行评分及评分意见的填写，选择是否同意答辩。最后点击“提交”或“暂存”即可，“提交”将提交到系统中去进行总评的换算，“暂存”后还可以进行修改，不会提交到系统中。（</w:t>
      </w:r>
      <w:r>
        <w:rPr>
          <w:rFonts w:ascii="微软雅黑" w:eastAsia="微软雅黑" w:hAnsi="微软雅黑" w:hint="eastAsia"/>
          <w:b/>
          <w:bCs/>
        </w:rPr>
        <w:t>前提是学生进入了二辩那么</w:t>
      </w:r>
      <w:r>
        <w:rPr>
          <w:rFonts w:ascii="微软雅黑" w:hAnsi="微软雅黑" w:hint="eastAsia"/>
          <w:b/>
          <w:bCs/>
        </w:rPr>
        <w:t>指导</w:t>
      </w:r>
      <w:r>
        <w:rPr>
          <w:rFonts w:ascii="微软雅黑" w:eastAsia="微软雅黑" w:hAnsi="微软雅黑" w:hint="eastAsia"/>
          <w:b/>
          <w:bCs/>
        </w:rPr>
        <w:t>老师就</w:t>
      </w:r>
      <w:r>
        <w:rPr>
          <w:rFonts w:ascii="微软雅黑" w:hAnsi="微软雅黑" w:hint="eastAsia"/>
          <w:b/>
          <w:bCs/>
        </w:rPr>
        <w:t>要选择</w:t>
      </w:r>
      <w:r>
        <w:rPr>
          <w:rFonts w:ascii="微软雅黑" w:eastAsia="微软雅黑" w:hAnsi="微软雅黑" w:hint="eastAsia"/>
          <w:b/>
          <w:bCs/>
        </w:rPr>
        <w:t>二辩</w:t>
      </w:r>
      <w:r>
        <w:rPr>
          <w:rFonts w:ascii="微软雅黑" w:hAnsi="微软雅黑" w:hint="eastAsia"/>
          <w:b/>
          <w:bCs/>
        </w:rPr>
        <w:t>然后进行</w:t>
      </w:r>
      <w:r>
        <w:rPr>
          <w:rFonts w:ascii="微软雅黑" w:eastAsia="微软雅黑" w:hAnsi="微软雅黑" w:hint="eastAsia"/>
          <w:b/>
          <w:bCs/>
        </w:rPr>
        <w:t>评分</w:t>
      </w:r>
      <w:r>
        <w:rPr>
          <w:rFonts w:ascii="微软雅黑" w:eastAsia="微软雅黑" w:hAnsi="微软雅黑" w:hint="eastAsia"/>
        </w:rPr>
        <w:t>）</w:t>
      </w:r>
    </w:p>
    <w:p w14:paraId="7DF21302" w14:textId="77777777" w:rsidR="003B4B52" w:rsidRDefault="00625BC0">
      <w:r>
        <w:rPr>
          <w:noProof/>
        </w:rPr>
        <w:lastRenderedPageBreak/>
        <w:drawing>
          <wp:inline distT="0" distB="0" distL="114300" distR="114300" wp14:anchorId="596321C0" wp14:editId="4B129B2A">
            <wp:extent cx="5272405" cy="2323465"/>
            <wp:effectExtent l="0" t="0" r="635" b="8255"/>
            <wp:docPr id="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2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11F69" w14:textId="37302943" w:rsidR="003B4B52" w:rsidRDefault="00625BC0" w:rsidP="001A3EF3">
      <w:pPr>
        <w:spacing w:line="360" w:lineRule="auto"/>
      </w:pPr>
      <w:r>
        <w:rPr>
          <w:noProof/>
        </w:rPr>
        <w:drawing>
          <wp:inline distT="0" distB="0" distL="114300" distR="114300" wp14:anchorId="23D780FD" wp14:editId="1D7C1E83">
            <wp:extent cx="5266690" cy="2955925"/>
            <wp:effectExtent l="0" t="0" r="6350" b="635"/>
            <wp:docPr id="70" name="图片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10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EE9FE" w14:textId="77777777" w:rsidR="003B4B52" w:rsidRDefault="00625BC0">
      <w:pPr>
        <w:pStyle w:val="2"/>
      </w:pPr>
      <w:bookmarkStart w:id="3" w:name="_Toc95916934"/>
      <w:r>
        <w:rPr>
          <w:rFonts w:hint="eastAsia"/>
        </w:rPr>
        <w:t>21</w:t>
      </w:r>
      <w:r>
        <w:rPr>
          <w:rFonts w:hint="eastAsia"/>
        </w:rPr>
        <w:t>、</w:t>
      </w:r>
      <w:r>
        <w:rPr>
          <w:rFonts w:hint="eastAsia"/>
          <w:color w:val="FF0000"/>
        </w:rPr>
        <w:t>评阅教师</w:t>
      </w:r>
      <w:r>
        <w:rPr>
          <w:rFonts w:hint="eastAsia"/>
        </w:rPr>
        <w:t>评分</w:t>
      </w:r>
      <w:bookmarkEnd w:id="3"/>
    </w:p>
    <w:p w14:paraId="4DF38FDC" w14:textId="77777777" w:rsidR="003B4B52" w:rsidRDefault="00625BC0">
      <w:pPr>
        <w:spacing w:line="360" w:lineRule="auto"/>
        <w:ind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点击左侧菜单栏“评分管理”—“答辩稿评阅教师评分（校内）”或“答辩稿评阅教师评分（校外）”页面。</w:t>
      </w:r>
    </w:p>
    <w:p w14:paraId="13E2DBEB" w14:textId="77777777" w:rsidR="003B4B52" w:rsidRDefault="00625BC0">
      <w:pPr>
        <w:spacing w:line="360" w:lineRule="auto"/>
        <w:ind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点击“评分”按钮，在弹出页面中对学生的定稿进行评分及评分意见的填写，选择是否同意答辩。最后点击“提交”或“暂存”即可，“提交”将提交到系统中去进行总评的换算，“暂存”后还可以进行修改，不会提交到系统中。</w:t>
      </w:r>
    </w:p>
    <w:p w14:paraId="011B768E" w14:textId="77777777" w:rsidR="003B4B52" w:rsidRDefault="00625BC0">
      <w:r>
        <w:rPr>
          <w:noProof/>
        </w:rPr>
        <w:lastRenderedPageBreak/>
        <w:drawing>
          <wp:inline distT="0" distB="0" distL="114300" distR="114300" wp14:anchorId="762DFF77" wp14:editId="5DAE6639">
            <wp:extent cx="5261610" cy="2641600"/>
            <wp:effectExtent l="0" t="0" r="8890" b="0"/>
            <wp:docPr id="48" name="图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112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06948B6D" wp14:editId="0BB58B99">
            <wp:extent cx="5264150" cy="2839720"/>
            <wp:effectExtent l="0" t="0" r="6350" b="5080"/>
            <wp:docPr id="49" name="图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83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FD132" w14:textId="77777777" w:rsidR="003B4B52" w:rsidRDefault="00625BC0">
      <w:pPr>
        <w:spacing w:line="360" w:lineRule="auto"/>
        <w:ind w:firstLine="480"/>
      </w:pPr>
      <w:r>
        <w:rPr>
          <w:rFonts w:ascii="微软雅黑" w:eastAsia="微软雅黑" w:hAnsi="微软雅黑" w:hint="eastAsia"/>
        </w:rPr>
        <w:t>点击左侧菜单栏“评分管理”—“校内评阅教师评分-二辩”页面。</w:t>
      </w:r>
    </w:p>
    <w:p w14:paraId="2F293A11" w14:textId="77777777" w:rsidR="003B4B52" w:rsidRDefault="00625BC0">
      <w:pPr>
        <w:spacing w:line="360" w:lineRule="auto"/>
        <w:ind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点击“评分”按钮，在弹出页面中对学生的定稿进行评分及评分意见的填写，选择是否同意答辩。最后点击“提交”或“暂存”即可，“提交”将提交到系统中去进行总评的换算，“暂存”后还可以进行修改，不会提交到系统中。（</w:t>
      </w:r>
      <w:r>
        <w:rPr>
          <w:rFonts w:ascii="微软雅黑" w:eastAsia="微软雅黑" w:hAnsi="微软雅黑" w:hint="eastAsia"/>
          <w:b/>
          <w:bCs/>
        </w:rPr>
        <w:t>前提是学生进入了二辩那么评阅老师就要进行二辩评分</w:t>
      </w:r>
      <w:r>
        <w:rPr>
          <w:rFonts w:ascii="微软雅黑" w:eastAsia="微软雅黑" w:hAnsi="微软雅黑" w:hint="eastAsia"/>
        </w:rPr>
        <w:t>）</w:t>
      </w:r>
    </w:p>
    <w:p w14:paraId="5BA5676B" w14:textId="77777777" w:rsidR="003B4B52" w:rsidRDefault="00625BC0">
      <w:pPr>
        <w:spacing w:line="360" w:lineRule="auto"/>
      </w:pPr>
      <w:r>
        <w:rPr>
          <w:noProof/>
        </w:rPr>
        <w:lastRenderedPageBreak/>
        <w:drawing>
          <wp:inline distT="0" distB="0" distL="114300" distR="114300" wp14:anchorId="4EB92C7F" wp14:editId="30ECDBA7">
            <wp:extent cx="5266690" cy="2348230"/>
            <wp:effectExtent l="0" t="0" r="635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2B17A" w14:textId="4DABB9D1" w:rsidR="003B4B52" w:rsidRDefault="00625BC0">
      <w:r>
        <w:rPr>
          <w:noProof/>
        </w:rPr>
        <w:drawing>
          <wp:inline distT="0" distB="0" distL="114300" distR="114300" wp14:anchorId="09B37581" wp14:editId="44AF958D">
            <wp:extent cx="5264150" cy="2839720"/>
            <wp:effectExtent l="0" t="0" r="8890" b="10160"/>
            <wp:docPr id="68" name="图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1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83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475E5" w14:textId="77777777" w:rsidR="001A3EF3" w:rsidRDefault="001A3EF3"/>
    <w:p w14:paraId="7ECF7380" w14:textId="77777777" w:rsidR="003B4B52" w:rsidRDefault="00625BC0">
      <w:pPr>
        <w:pStyle w:val="2"/>
      </w:pPr>
      <w:bookmarkStart w:id="4" w:name="_Toc95916938"/>
      <w:r>
        <w:rPr>
          <w:rFonts w:hint="eastAsia"/>
        </w:rPr>
        <w:t>25</w:t>
      </w:r>
      <w:r>
        <w:rPr>
          <w:rFonts w:hint="eastAsia"/>
        </w:rPr>
        <w:t>、</w:t>
      </w:r>
      <w:r>
        <w:rPr>
          <w:rFonts w:hint="eastAsia"/>
          <w:color w:val="FF0000"/>
        </w:rPr>
        <w:t>答辩组长</w:t>
      </w:r>
      <w:r>
        <w:rPr>
          <w:rFonts w:hint="eastAsia"/>
          <w:color w:val="000000"/>
        </w:rPr>
        <w:t>答辩组评分</w:t>
      </w:r>
      <w:bookmarkEnd w:id="4"/>
    </w:p>
    <w:p w14:paraId="778F0210" w14:textId="77777777" w:rsidR="003B4B52" w:rsidRDefault="00625BC0">
      <w:pPr>
        <w:spacing w:line="360" w:lineRule="auto"/>
        <w:ind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点击左侧菜单栏“评分管理”—“答辩组评分”页面。</w:t>
      </w:r>
    </w:p>
    <w:p w14:paraId="444F16B9" w14:textId="77777777" w:rsidR="003B4B52" w:rsidRDefault="00625BC0">
      <w:pPr>
        <w:spacing w:line="360" w:lineRule="auto"/>
        <w:ind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点击“评分”按钮，在弹出页面中录入答辩总分、答辩记录及答辩小组意见 ，最后点击“提交”或“暂存”即可，“提交”将提交到系统中去进行总评的换算，“暂存”后还可以进行修改，不会提交到系统中。</w:t>
      </w:r>
    </w:p>
    <w:p w14:paraId="29279B3D" w14:textId="77777777" w:rsidR="003B4B52" w:rsidRDefault="00625BC0">
      <w:pPr>
        <w:spacing w:line="360" w:lineRule="auto"/>
        <w:ind w:firstLine="480"/>
      </w:pPr>
      <w:r>
        <w:rPr>
          <w:noProof/>
        </w:rPr>
        <w:lastRenderedPageBreak/>
        <w:drawing>
          <wp:inline distT="0" distB="0" distL="114300" distR="114300" wp14:anchorId="53739C3A" wp14:editId="153D30FE">
            <wp:extent cx="5260975" cy="2875915"/>
            <wp:effectExtent l="0" t="0" r="9525" b="6985"/>
            <wp:docPr id="56" name="图片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119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B3971" w14:textId="77777777" w:rsidR="003B4B52" w:rsidRDefault="003B4B52">
      <w:pPr>
        <w:spacing w:line="360" w:lineRule="auto"/>
        <w:ind w:firstLine="480"/>
      </w:pPr>
    </w:p>
    <w:p w14:paraId="65578C6D" w14:textId="77777777" w:rsidR="003B4B52" w:rsidRDefault="00625BC0">
      <w:pPr>
        <w:pStyle w:val="2"/>
        <w:rPr>
          <w:rFonts w:ascii="微软雅黑" w:eastAsia="微软雅黑" w:hAnsi="微软雅黑"/>
        </w:rPr>
      </w:pPr>
      <w:bookmarkStart w:id="5" w:name="_Toc14010"/>
      <w:bookmarkStart w:id="6" w:name="_Toc16624"/>
      <w:bookmarkStart w:id="7" w:name="_Toc95916939"/>
      <w:r>
        <w:rPr>
          <w:rFonts w:hint="eastAsia"/>
        </w:rPr>
        <w:t>26</w:t>
      </w:r>
      <w:r>
        <w:rPr>
          <w:rFonts w:hint="eastAsia"/>
        </w:rPr>
        <w:t>、</w:t>
      </w:r>
      <w:r>
        <w:rPr>
          <w:rFonts w:hint="eastAsia"/>
          <w:color w:val="FF0000"/>
        </w:rPr>
        <w:t>学生</w:t>
      </w:r>
      <w:r>
        <w:rPr>
          <w:rFonts w:hint="eastAsia"/>
        </w:rPr>
        <w:t>提交论文最终稿</w:t>
      </w:r>
      <w:bookmarkEnd w:id="5"/>
      <w:bookmarkEnd w:id="6"/>
      <w:bookmarkEnd w:id="7"/>
    </w:p>
    <w:p w14:paraId="6AB30C7C" w14:textId="77777777" w:rsidR="003B4B52" w:rsidRDefault="00625BC0">
      <w:r>
        <w:rPr>
          <w:rFonts w:hint="eastAsia"/>
        </w:rPr>
        <w:t>点击左侧菜单进入“最终稿”—“最终稿”—“编辑最终稿”页面。</w:t>
      </w:r>
    </w:p>
    <w:p w14:paraId="71F2D78C" w14:textId="77777777" w:rsidR="003B4B52" w:rsidRDefault="00625BC0">
      <w:r>
        <w:rPr>
          <w:rFonts w:hint="eastAsia"/>
        </w:rPr>
        <w:t>操作与论文定稿环节一致。</w:t>
      </w:r>
    </w:p>
    <w:p w14:paraId="0C440249" w14:textId="77777777" w:rsidR="003B4B52" w:rsidRDefault="00625BC0">
      <w:pPr>
        <w:spacing w:line="360" w:lineRule="auto"/>
        <w:ind w:firstLine="48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114300" distR="114300" wp14:anchorId="678D4488" wp14:editId="318B0174">
            <wp:extent cx="5270500" cy="2686685"/>
            <wp:effectExtent l="0" t="0" r="0" b="5715"/>
            <wp:docPr id="57" name="图片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12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857B4" w14:textId="77777777" w:rsidR="003B4B52" w:rsidRDefault="00625BC0">
      <w:pPr>
        <w:pStyle w:val="2"/>
      </w:pPr>
      <w:bookmarkStart w:id="8" w:name="_Toc25798"/>
      <w:bookmarkStart w:id="9" w:name="_Toc31789"/>
      <w:bookmarkStart w:id="10" w:name="_Toc95916940"/>
      <w:r>
        <w:rPr>
          <w:rFonts w:hint="eastAsia"/>
        </w:rPr>
        <w:t>27</w:t>
      </w:r>
      <w:r>
        <w:rPr>
          <w:rFonts w:hint="eastAsia"/>
        </w:rPr>
        <w:t>、</w:t>
      </w:r>
      <w:r>
        <w:rPr>
          <w:rFonts w:hint="eastAsia"/>
          <w:color w:val="FF0000"/>
        </w:rPr>
        <w:t>指导教师</w:t>
      </w:r>
      <w:r>
        <w:rPr>
          <w:rFonts w:hint="eastAsia"/>
        </w:rPr>
        <w:t>审核论文最终稿</w:t>
      </w:r>
      <w:bookmarkEnd w:id="8"/>
      <w:bookmarkEnd w:id="9"/>
      <w:bookmarkEnd w:id="10"/>
    </w:p>
    <w:p w14:paraId="48E95C2C" w14:textId="77777777" w:rsidR="003B4B52" w:rsidRDefault="00625BC0">
      <w:pPr>
        <w:spacing w:line="360" w:lineRule="auto"/>
        <w:ind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点击左侧菜单进入“最终稿”—“最终稿”—“审核最终稿”页面。</w:t>
      </w:r>
    </w:p>
    <w:p w14:paraId="3B81DE46" w14:textId="77777777" w:rsidR="003B4B52" w:rsidRDefault="00625BC0">
      <w:r>
        <w:rPr>
          <w:noProof/>
        </w:rPr>
        <w:lastRenderedPageBreak/>
        <w:drawing>
          <wp:inline distT="0" distB="0" distL="114300" distR="114300" wp14:anchorId="3CC39622" wp14:editId="36636BC5">
            <wp:extent cx="5267325" cy="2419350"/>
            <wp:effectExtent l="0" t="0" r="3175" b="6350"/>
            <wp:docPr id="58" name="图片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122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8F88D" w14:textId="77777777" w:rsidR="003B4B52" w:rsidRDefault="00625BC0">
      <w:pPr>
        <w:rPr>
          <w:b/>
          <w:kern w:val="44"/>
          <w:sz w:val="32"/>
          <w:szCs w:val="32"/>
        </w:rPr>
      </w:pPr>
      <w:r>
        <w:rPr>
          <w:noProof/>
        </w:rPr>
        <w:drawing>
          <wp:inline distT="0" distB="0" distL="114300" distR="114300" wp14:anchorId="1F2A411B" wp14:editId="331068CC">
            <wp:extent cx="5274310" cy="2533015"/>
            <wp:effectExtent l="0" t="0" r="8890" b="6985"/>
            <wp:docPr id="59" name="图片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12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80DC8" w14:textId="5A08A831" w:rsidR="003B4B52" w:rsidRDefault="003B4B52" w:rsidP="001A3EF3">
      <w:pPr>
        <w:spacing w:line="360" w:lineRule="auto"/>
      </w:pPr>
    </w:p>
    <w:p w14:paraId="3945B3FE" w14:textId="77777777" w:rsidR="003B4B52" w:rsidRDefault="003B4B52">
      <w:pPr>
        <w:snapToGrid w:val="0"/>
        <w:spacing w:line="360" w:lineRule="auto"/>
      </w:pPr>
    </w:p>
    <w:sectPr w:rsidR="003B4B52" w:rsidSect="003B4B5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713B0" w14:textId="77777777" w:rsidR="008E674A" w:rsidRDefault="008E674A" w:rsidP="008D35F9">
      <w:r>
        <w:separator/>
      </w:r>
    </w:p>
  </w:endnote>
  <w:endnote w:type="continuationSeparator" w:id="0">
    <w:p w14:paraId="7AA1E7B6" w14:textId="77777777" w:rsidR="008E674A" w:rsidRDefault="008E674A" w:rsidP="008D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1C42A" w14:textId="77777777" w:rsidR="008E674A" w:rsidRDefault="008E674A" w:rsidP="008D35F9">
      <w:r>
        <w:separator/>
      </w:r>
    </w:p>
  </w:footnote>
  <w:footnote w:type="continuationSeparator" w:id="0">
    <w:p w14:paraId="04C91883" w14:textId="77777777" w:rsidR="008E674A" w:rsidRDefault="008E674A" w:rsidP="008D3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9679D"/>
    <w:multiLevelType w:val="multilevel"/>
    <w:tmpl w:val="31F9679D"/>
    <w:lvl w:ilvl="0">
      <w:start w:val="1"/>
      <w:numFmt w:val="japaneseCounting"/>
      <w:lvlText w:val="%1、"/>
      <w:lvlJc w:val="left"/>
      <w:pPr>
        <w:ind w:left="1042" w:hanging="9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997090"/>
    <w:rsid w:val="00017D8F"/>
    <w:rsid w:val="000211A9"/>
    <w:rsid w:val="00023575"/>
    <w:rsid w:val="00033DFE"/>
    <w:rsid w:val="00046660"/>
    <w:rsid w:val="00063881"/>
    <w:rsid w:val="0008146F"/>
    <w:rsid w:val="00082BA2"/>
    <w:rsid w:val="000909F1"/>
    <w:rsid w:val="000932E0"/>
    <w:rsid w:val="0010053F"/>
    <w:rsid w:val="001459C9"/>
    <w:rsid w:val="00151D37"/>
    <w:rsid w:val="00156AEA"/>
    <w:rsid w:val="0019205E"/>
    <w:rsid w:val="00193463"/>
    <w:rsid w:val="001A3EF3"/>
    <w:rsid w:val="001B7B15"/>
    <w:rsid w:val="001C0CC6"/>
    <w:rsid w:val="001C4349"/>
    <w:rsid w:val="001C4894"/>
    <w:rsid w:val="001E1419"/>
    <w:rsid w:val="001F2627"/>
    <w:rsid w:val="001F368E"/>
    <w:rsid w:val="001F43E9"/>
    <w:rsid w:val="002012DA"/>
    <w:rsid w:val="00203DD0"/>
    <w:rsid w:val="00243CF3"/>
    <w:rsid w:val="002A433F"/>
    <w:rsid w:val="002B7660"/>
    <w:rsid w:val="002C2822"/>
    <w:rsid w:val="002F5777"/>
    <w:rsid w:val="0034656F"/>
    <w:rsid w:val="00357267"/>
    <w:rsid w:val="00373B1B"/>
    <w:rsid w:val="003874AF"/>
    <w:rsid w:val="003B4B52"/>
    <w:rsid w:val="003B7FB2"/>
    <w:rsid w:val="003F3132"/>
    <w:rsid w:val="00424256"/>
    <w:rsid w:val="00440726"/>
    <w:rsid w:val="00447B84"/>
    <w:rsid w:val="00470DEF"/>
    <w:rsid w:val="004733AC"/>
    <w:rsid w:val="004A5630"/>
    <w:rsid w:val="004C4DA5"/>
    <w:rsid w:val="004C557E"/>
    <w:rsid w:val="005D603E"/>
    <w:rsid w:val="00625BC0"/>
    <w:rsid w:val="00645D7B"/>
    <w:rsid w:val="00667CD0"/>
    <w:rsid w:val="0067594D"/>
    <w:rsid w:val="006C2390"/>
    <w:rsid w:val="006F7B74"/>
    <w:rsid w:val="00704273"/>
    <w:rsid w:val="00714BAE"/>
    <w:rsid w:val="0074529A"/>
    <w:rsid w:val="0076352A"/>
    <w:rsid w:val="007B399A"/>
    <w:rsid w:val="007E0288"/>
    <w:rsid w:val="008266AB"/>
    <w:rsid w:val="008525C4"/>
    <w:rsid w:val="00885D18"/>
    <w:rsid w:val="00892B4D"/>
    <w:rsid w:val="008B33E0"/>
    <w:rsid w:val="008D35F9"/>
    <w:rsid w:val="008E674A"/>
    <w:rsid w:val="008F053F"/>
    <w:rsid w:val="008F4C94"/>
    <w:rsid w:val="008F547F"/>
    <w:rsid w:val="00985DF6"/>
    <w:rsid w:val="00A6547D"/>
    <w:rsid w:val="00A726B2"/>
    <w:rsid w:val="00A77E29"/>
    <w:rsid w:val="00AD394F"/>
    <w:rsid w:val="00AD6D83"/>
    <w:rsid w:val="00B0560B"/>
    <w:rsid w:val="00B22F4B"/>
    <w:rsid w:val="00B63F92"/>
    <w:rsid w:val="00B65758"/>
    <w:rsid w:val="00B93B5C"/>
    <w:rsid w:val="00BA02DD"/>
    <w:rsid w:val="00BC3F1E"/>
    <w:rsid w:val="00C019CF"/>
    <w:rsid w:val="00C163E2"/>
    <w:rsid w:val="00C91720"/>
    <w:rsid w:val="00C95852"/>
    <w:rsid w:val="00CA5594"/>
    <w:rsid w:val="00CA654E"/>
    <w:rsid w:val="00CA79CA"/>
    <w:rsid w:val="00CB41F4"/>
    <w:rsid w:val="00CE3404"/>
    <w:rsid w:val="00CE3F1F"/>
    <w:rsid w:val="00CE6887"/>
    <w:rsid w:val="00D21ED6"/>
    <w:rsid w:val="00D56B5E"/>
    <w:rsid w:val="00D73990"/>
    <w:rsid w:val="00D824AD"/>
    <w:rsid w:val="00D82900"/>
    <w:rsid w:val="00D93DEC"/>
    <w:rsid w:val="00DA5F2C"/>
    <w:rsid w:val="00E121A1"/>
    <w:rsid w:val="00E1253C"/>
    <w:rsid w:val="00E20CCE"/>
    <w:rsid w:val="00E54085"/>
    <w:rsid w:val="00E62BBA"/>
    <w:rsid w:val="00E64068"/>
    <w:rsid w:val="00E869CD"/>
    <w:rsid w:val="00ED4E90"/>
    <w:rsid w:val="00ED5CEC"/>
    <w:rsid w:val="00F375F7"/>
    <w:rsid w:val="00F52F28"/>
    <w:rsid w:val="00F53FFC"/>
    <w:rsid w:val="00F5658A"/>
    <w:rsid w:val="00FC4D33"/>
    <w:rsid w:val="00FD3DCD"/>
    <w:rsid w:val="00FF0D94"/>
    <w:rsid w:val="00FF3E2C"/>
    <w:rsid w:val="013458F9"/>
    <w:rsid w:val="023D4DA3"/>
    <w:rsid w:val="06C34669"/>
    <w:rsid w:val="07E17662"/>
    <w:rsid w:val="086932D6"/>
    <w:rsid w:val="0BE91949"/>
    <w:rsid w:val="0C0B753F"/>
    <w:rsid w:val="0C6E6360"/>
    <w:rsid w:val="0E957362"/>
    <w:rsid w:val="10172D55"/>
    <w:rsid w:val="12C65C82"/>
    <w:rsid w:val="13D607C6"/>
    <w:rsid w:val="16845587"/>
    <w:rsid w:val="1B1644CC"/>
    <w:rsid w:val="1E8E0A92"/>
    <w:rsid w:val="21303901"/>
    <w:rsid w:val="22320E7B"/>
    <w:rsid w:val="22B0187A"/>
    <w:rsid w:val="23F02769"/>
    <w:rsid w:val="24051800"/>
    <w:rsid w:val="26EB585A"/>
    <w:rsid w:val="2AD60D53"/>
    <w:rsid w:val="2B21546A"/>
    <w:rsid w:val="2C997090"/>
    <w:rsid w:val="342F5CD8"/>
    <w:rsid w:val="3A084EA4"/>
    <w:rsid w:val="3BC942B4"/>
    <w:rsid w:val="3CD218B0"/>
    <w:rsid w:val="3E243B10"/>
    <w:rsid w:val="43477DD0"/>
    <w:rsid w:val="43BD0B90"/>
    <w:rsid w:val="44BB45FB"/>
    <w:rsid w:val="4795376D"/>
    <w:rsid w:val="4BB14319"/>
    <w:rsid w:val="4D2D07B8"/>
    <w:rsid w:val="50BE01E0"/>
    <w:rsid w:val="58C16CA3"/>
    <w:rsid w:val="5E312848"/>
    <w:rsid w:val="62756ADA"/>
    <w:rsid w:val="63541276"/>
    <w:rsid w:val="644D7C34"/>
    <w:rsid w:val="66FA14EE"/>
    <w:rsid w:val="695B07E5"/>
    <w:rsid w:val="6ACC6187"/>
    <w:rsid w:val="77891247"/>
    <w:rsid w:val="78480AE1"/>
    <w:rsid w:val="78883FDB"/>
    <w:rsid w:val="789B3FF2"/>
    <w:rsid w:val="78AA6F28"/>
    <w:rsid w:val="78FC7232"/>
    <w:rsid w:val="790B7254"/>
    <w:rsid w:val="79783F9E"/>
    <w:rsid w:val="7CB129C7"/>
    <w:rsid w:val="7D4F4CF0"/>
    <w:rsid w:val="7F874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A6CE4E"/>
  <w15:docId w15:val="{BF28F6D5-6CFE-4EC7-8E0F-16358EFB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B5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B4B52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3B4B52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3B4B5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qFormat/>
    <w:rsid w:val="003B4B52"/>
    <w:pPr>
      <w:ind w:leftChars="400" w:left="840"/>
    </w:pPr>
  </w:style>
  <w:style w:type="paragraph" w:styleId="a3">
    <w:name w:val="Balloon Text"/>
    <w:basedOn w:val="a"/>
    <w:link w:val="Char"/>
    <w:qFormat/>
    <w:rsid w:val="003B4B52"/>
    <w:rPr>
      <w:sz w:val="18"/>
      <w:szCs w:val="18"/>
    </w:rPr>
  </w:style>
  <w:style w:type="paragraph" w:styleId="a4">
    <w:name w:val="footer"/>
    <w:basedOn w:val="a"/>
    <w:link w:val="Char0"/>
    <w:qFormat/>
    <w:rsid w:val="003B4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3B4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3B4B52"/>
  </w:style>
  <w:style w:type="paragraph" w:styleId="20">
    <w:name w:val="toc 2"/>
    <w:basedOn w:val="a"/>
    <w:next w:val="a"/>
    <w:uiPriority w:val="39"/>
    <w:unhideWhenUsed/>
    <w:qFormat/>
    <w:rsid w:val="003B4B52"/>
    <w:pPr>
      <w:ind w:leftChars="200" w:left="420"/>
    </w:pPr>
  </w:style>
  <w:style w:type="character" w:styleId="a6">
    <w:name w:val="Hyperlink"/>
    <w:basedOn w:val="a0"/>
    <w:uiPriority w:val="99"/>
    <w:unhideWhenUsed/>
    <w:qFormat/>
    <w:rsid w:val="003B4B52"/>
    <w:rPr>
      <w:color w:val="0563C1"/>
      <w:u w:val="single"/>
    </w:rPr>
  </w:style>
  <w:style w:type="character" w:customStyle="1" w:styleId="1Char">
    <w:name w:val="标题 1 Char"/>
    <w:link w:val="1"/>
    <w:qFormat/>
    <w:rsid w:val="003B4B52"/>
    <w:rPr>
      <w:b/>
      <w:kern w:val="44"/>
      <w:sz w:val="44"/>
    </w:rPr>
  </w:style>
  <w:style w:type="character" w:customStyle="1" w:styleId="2Char">
    <w:name w:val="标题 2 Char"/>
    <w:basedOn w:val="a0"/>
    <w:link w:val="2"/>
    <w:rsid w:val="003B4B52"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sid w:val="003B4B52"/>
    <w:rPr>
      <w:rFonts w:ascii="Calibri" w:eastAsia="宋体" w:hAnsi="Calibri" w:cs="Times New Roman"/>
      <w:b/>
      <w:bCs/>
      <w:kern w:val="2"/>
      <w:sz w:val="32"/>
      <w:szCs w:val="32"/>
    </w:rPr>
  </w:style>
  <w:style w:type="character" w:customStyle="1" w:styleId="Char">
    <w:name w:val="批注框文本 Char"/>
    <w:basedOn w:val="a0"/>
    <w:link w:val="a3"/>
    <w:qFormat/>
    <w:rsid w:val="003B4B5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3B4B5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3B4B52"/>
    <w:rPr>
      <w:rFonts w:ascii="Calibri" w:eastAsia="宋体" w:hAnsi="Calibri" w:cs="Times New Roman"/>
      <w:kern w:val="2"/>
      <w:sz w:val="18"/>
      <w:szCs w:val="18"/>
    </w:rPr>
  </w:style>
  <w:style w:type="paragraph" w:customStyle="1" w:styleId="WPSOffice1">
    <w:name w:val="WPSOffice手动目录 1"/>
    <w:qFormat/>
    <w:rsid w:val="003B4B52"/>
  </w:style>
  <w:style w:type="paragraph" w:customStyle="1" w:styleId="TOC1">
    <w:name w:val="TOC 标题1"/>
    <w:basedOn w:val="1"/>
    <w:next w:val="a"/>
    <w:uiPriority w:val="39"/>
    <w:unhideWhenUsed/>
    <w:qFormat/>
    <w:rsid w:val="003B4B52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color w:val="2E75B5"/>
      <w:kern w:val="0"/>
      <w:sz w:val="32"/>
      <w:szCs w:val="32"/>
    </w:rPr>
  </w:style>
  <w:style w:type="paragraph" w:styleId="a7">
    <w:name w:val="List Paragraph"/>
    <w:basedOn w:val="a"/>
    <w:uiPriority w:val="99"/>
    <w:qFormat/>
    <w:rsid w:val="003B4B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4D518E-A65C-45A0-BD50-3C78EF9C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sir</dc:creator>
  <cp:lastModifiedBy>admin</cp:lastModifiedBy>
  <cp:revision>4</cp:revision>
  <dcterms:created xsi:type="dcterms:W3CDTF">2024-05-13T07:20:00Z</dcterms:created>
  <dcterms:modified xsi:type="dcterms:W3CDTF">2024-05-13T07:30:00Z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E93A2E4C705A45D4959473BC083AEFC8</vt:lpwstr>
  </property>
</Properties>
</file>